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276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heading=h.59qjgbj2s11k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July 26 Learning Blade Corner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3190875</wp:posOffset>
            </wp:positionH>
            <wp:positionV relativeFrom="paragraph">
              <wp:posOffset>419100</wp:posOffset>
            </wp:positionV>
            <wp:extent cx="3252788" cy="3252788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2788" cy="32527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28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Empower students with real-world learning that aligns with CTE pathways!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Learning Blade helps educators bring Career and Technical Education to life through 14 interactive, standards-aligned missions that directly connect to national Career Clusters, including: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before="24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Advanced Manufacturing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line="276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Build submarines, naval ships, and concept cars using real-world design challenges.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Healthcare &amp; Human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76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Explore careers through a heart surgery simulation or dolphin rehabilitation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Digital 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76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Defend against a cyberattack or explore the future of innovation with artificial intelligence and coding.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Agriculture, Energy, &amp; Natural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76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Address modern food production or evaluate clean energy alternatives for real communities.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Management &amp; Entrepreneurship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240" w:line="276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Empower students to launch their own business venture in a guided simulation.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Whether your focus is full CTE programming or CTE-adjacent STEM and career exploration, Learning Blade delivers an engaging, ready-to-implement resource that supports career awareness, workforce readiness, and cross-disciplinary skills—all while meeting the goals of Perkins V and state-specific CTE frameworks.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Please reach out to s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chedule your free IL back to school PD’S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 We are happy to continue to provide teachers, school and district PD’S for no cost.</w:t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Request your fully funded account today:</w:t>
      </w:r>
      <w:hyperlink r:id="rId9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LearningBlade.com/States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Social: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3333750</wp:posOffset>
            </wp:positionH>
            <wp:positionV relativeFrom="paragraph">
              <wp:posOffset>215162</wp:posOffset>
            </wp:positionV>
            <wp:extent cx="2885225" cy="2885225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5225" cy="2885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spacing w:after="240"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Empower Students with Real-World CTE Learning!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Bring Career and Technical Education to life with Learning Blade, an interactive platform offering 14 standards-aligned missions that connect directly to national Career Clusters.</w:t>
      </w:r>
    </w:p>
    <w:p w:rsidR="00000000" w:rsidDel="00000000" w:rsidP="00000000" w:rsidRDefault="00000000" w:rsidRPr="00000000" w14:paraId="00000016">
      <w:pPr>
        <w:spacing w:after="240"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Featured Pathways Include: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Advanced Manufacturing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Build submarines and concept cars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Healthcare &amp; Human Sciences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Simulate heart surgery or rehab a dolphin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Digital Technology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Defend against a cyberattack or explore the future of innovation with artificial intelligence and coding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Agriculture, Energy, &amp; Natural Resources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Explore clean energy and food systems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Management &amp; Entrepreneurship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Launch a startup in a guided simulation</w:t>
      </w:r>
    </w:p>
    <w:p w:rsidR="00000000" w:rsidDel="00000000" w:rsidP="00000000" w:rsidRDefault="00000000" w:rsidRPr="00000000" w14:paraId="00000017">
      <w:pPr>
        <w:spacing w:after="240"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Whether you’re building full CTE programs or enhancing STEM and career exploration, Learning Blade supports career awareness, workforce readiness, and Perkins V goals.</w:t>
      </w:r>
    </w:p>
    <w:p w:rsidR="00000000" w:rsidDel="00000000" w:rsidP="00000000" w:rsidRDefault="00000000" w:rsidRPr="00000000" w14:paraId="00000018">
      <w:pPr>
        <w:spacing w:after="240"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Get your fully funded account today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  <w:hyperlink r:id="rId11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LearningBlade.com/States</w:t>
          <w:br w:type="textWrapping"/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#CTE #CareerReadiness #STEMEducation #PerkinsV #LearningBlade #FutureReady #EdTech</w:t>
      </w:r>
    </w:p>
    <w:p w:rsidR="00000000" w:rsidDel="00000000" w:rsidP="00000000" w:rsidRDefault="00000000" w:rsidRPr="00000000" w14:paraId="00000019">
      <w:pPr>
        <w:spacing w:after="240"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1085850</wp:posOffset>
          </wp:positionH>
          <wp:positionV relativeFrom="paragraph">
            <wp:posOffset>-342898</wp:posOffset>
          </wp:positionV>
          <wp:extent cx="3557588" cy="59056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3000" l="0" r="0" t="40400"/>
                  <a:stretch>
                    <a:fillRect/>
                  </a:stretch>
                </pic:blipFill>
                <pic:spPr>
                  <a:xfrm>
                    <a:off x="0" y="0"/>
                    <a:ext cx="3557588" cy="5905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learningblade.com/States" TargetMode="External"/><Relationship Id="rId10" Type="http://schemas.openxmlformats.org/officeDocument/2006/relationships/hyperlink" Target="https://www.learningblade.com/States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learningblade.com/Stat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earningblade.com/Stat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calendly.com/michelle-gallagher-edynamiclearning/30-minute-meeting-w-michelle-from-learning-blad-clo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x8QosaxBJX7+M+D65s81lp1xA==">CgMxLjAyDmguNTlxamdiajJzMTFrOAByITFTOVBVVFlaWEZKUHIxTVl0Zi0zRm1tTVhGaFNaVThZeg==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